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747A" w14:textId="77777777" w:rsidR="0054605B" w:rsidRPr="0054605B" w:rsidRDefault="0054605B" w:rsidP="0054605B">
      <w:pPr>
        <w:spacing w:after="48"/>
        <w:textAlignment w:val="baseline"/>
        <w:rPr>
          <w:rFonts w:ascii="Roboto" w:hAnsi="Roboto"/>
          <w:color w:val="3A3A3A"/>
          <w:sz w:val="40"/>
          <w:szCs w:val="40"/>
          <w:lang w:eastAsia="el-GR"/>
        </w:rPr>
      </w:pPr>
      <w:r w:rsidRPr="0054605B">
        <w:rPr>
          <w:rFonts w:ascii="Roboto" w:hAnsi="Roboto"/>
          <w:color w:val="3A3A3A"/>
          <w:sz w:val="40"/>
          <w:szCs w:val="40"/>
          <w:lang w:eastAsia="el-GR"/>
        </w:rPr>
        <w:t>Νέες ημερομηνίες για την ολοκλήρωση της διαδικασίας του Ψηφιακού Μερίσματος ΙΙ λόγω έκτακτων συνθηκών</w:t>
      </w:r>
    </w:p>
    <w:p w14:paraId="0AC15A78" w14:textId="77777777" w:rsidR="0054605B" w:rsidRDefault="0054605B" w:rsidP="0054605B">
      <w:pPr>
        <w:textAlignment w:val="baseline"/>
        <w:rPr>
          <w:color w:val="0274BE"/>
          <w:sz w:val="23"/>
          <w:szCs w:val="23"/>
          <w:lang w:eastAsia="el-GR"/>
        </w:rPr>
      </w:pPr>
      <w:hyperlink r:id="rId4" w:history="1">
        <w:r>
          <w:rPr>
            <w:rStyle w:val="Hyperlink"/>
            <w:color w:val="0274BE"/>
            <w:sz w:val="23"/>
            <w:szCs w:val="23"/>
            <w:bdr w:val="none" w:sz="0" w:space="0" w:color="auto" w:frame="1"/>
            <w:lang w:eastAsia="el-GR"/>
          </w:rPr>
          <w:t>Δελτία Τύπου - Ανακοινώσεις</w:t>
        </w:r>
      </w:hyperlink>
      <w:r>
        <w:rPr>
          <w:color w:val="0274BE"/>
          <w:sz w:val="23"/>
          <w:szCs w:val="23"/>
          <w:lang w:eastAsia="el-GR"/>
        </w:rPr>
        <w:t> / </w:t>
      </w:r>
      <w:r>
        <w:rPr>
          <w:color w:val="0274BE"/>
          <w:sz w:val="23"/>
          <w:szCs w:val="23"/>
          <w:bdr w:val="none" w:sz="0" w:space="0" w:color="auto" w:frame="1"/>
          <w:lang w:eastAsia="el-GR"/>
        </w:rPr>
        <w:t>12 Αυγούστου, 2021</w:t>
      </w:r>
    </w:p>
    <w:p w14:paraId="36B861AB" w14:textId="77777777" w:rsidR="0054605B" w:rsidRDefault="0054605B" w:rsidP="0054605B">
      <w:pPr>
        <w:shd w:val="clear" w:color="auto" w:fill="FFFFFF"/>
        <w:spacing w:after="384"/>
        <w:textAlignment w:val="baseline"/>
        <w:rPr>
          <w:rFonts w:ascii="Roboto" w:hAnsi="Roboto"/>
          <w:color w:val="3A3A3A"/>
          <w:sz w:val="23"/>
          <w:szCs w:val="23"/>
          <w:lang w:eastAsia="el-GR"/>
        </w:rPr>
      </w:pPr>
      <w:r>
        <w:rPr>
          <w:rFonts w:ascii="Roboto" w:hAnsi="Roboto"/>
          <w:color w:val="3A3A3A"/>
          <w:sz w:val="23"/>
          <w:szCs w:val="23"/>
          <w:lang w:eastAsia="el-GR"/>
        </w:rPr>
        <w:t xml:space="preserve">Το Υπουργείο Ψηφιακής Διακυβέρνησης ανακοινώνει ότι, λόγω των έκτακτων συνθηκών, καθορίζονται νέες ημερομηνίες για την ολοκλήρωση της διαδικασίας του απόδοσης του φάσματος των 700 MHZ στην κινητή τηλεφωνία και τα δίκτυα 5G (διαδικασία γνωστή ως «Ψηφιακό Μέρισμα ΙΙ»). Με τη διαδικασία του Ψηφιακού Μερίσματος ΙΙ, η περιοχή ραδιοσυχνοτήτων των 700 </w:t>
      </w:r>
      <w:proofErr w:type="spellStart"/>
      <w:r>
        <w:rPr>
          <w:rFonts w:ascii="Roboto" w:hAnsi="Roboto"/>
          <w:color w:val="3A3A3A"/>
          <w:sz w:val="23"/>
          <w:szCs w:val="23"/>
          <w:lang w:eastAsia="el-GR"/>
        </w:rPr>
        <w:t>MHz</w:t>
      </w:r>
      <w:proofErr w:type="spellEnd"/>
      <w:r>
        <w:rPr>
          <w:rFonts w:ascii="Roboto" w:hAnsi="Roboto"/>
          <w:color w:val="3A3A3A"/>
          <w:sz w:val="23"/>
          <w:szCs w:val="23"/>
          <w:lang w:eastAsia="el-GR"/>
        </w:rPr>
        <w:t xml:space="preserve"> αποδεσμεύεται από τους </w:t>
      </w:r>
      <w:proofErr w:type="spellStart"/>
      <w:r>
        <w:rPr>
          <w:rFonts w:ascii="Roboto" w:hAnsi="Roboto"/>
          <w:color w:val="3A3A3A"/>
          <w:sz w:val="23"/>
          <w:szCs w:val="23"/>
          <w:lang w:eastAsia="el-GR"/>
        </w:rPr>
        <w:t>παρόχους</w:t>
      </w:r>
      <w:proofErr w:type="spellEnd"/>
      <w:r>
        <w:rPr>
          <w:rFonts w:ascii="Roboto" w:hAnsi="Roboto"/>
          <w:color w:val="3A3A3A"/>
          <w:sz w:val="23"/>
          <w:szCs w:val="23"/>
          <w:lang w:eastAsia="el-GR"/>
        </w:rPr>
        <w:t xml:space="preserve"> επίγειας ψηφιακής </w:t>
      </w:r>
      <w:proofErr w:type="spellStart"/>
      <w:r>
        <w:rPr>
          <w:rFonts w:ascii="Roboto" w:hAnsi="Roboto"/>
          <w:color w:val="3A3A3A"/>
          <w:sz w:val="23"/>
          <w:szCs w:val="23"/>
          <w:lang w:eastAsia="el-GR"/>
        </w:rPr>
        <w:t>ευρυεκπομπής</w:t>
      </w:r>
      <w:proofErr w:type="spellEnd"/>
      <w:r>
        <w:rPr>
          <w:rFonts w:ascii="Roboto" w:hAnsi="Roboto"/>
          <w:color w:val="3A3A3A"/>
          <w:sz w:val="23"/>
          <w:szCs w:val="23"/>
          <w:lang w:eastAsia="el-GR"/>
        </w:rPr>
        <w:t xml:space="preserve"> (δηλαδή την ΕΡΤ και την Digea) προκειμένου να χρησιμοποιηθεί για την ανάπτυξη των νέας γενιάς δικτύων κινητής τηλεφωνίας.</w:t>
      </w:r>
    </w:p>
    <w:p w14:paraId="5A87C02D" w14:textId="77777777" w:rsidR="0054605B" w:rsidRDefault="0054605B" w:rsidP="0054605B">
      <w:pPr>
        <w:shd w:val="clear" w:color="auto" w:fill="FFFFFF"/>
        <w:spacing w:after="384"/>
        <w:textAlignment w:val="baseline"/>
        <w:rPr>
          <w:rFonts w:ascii="Roboto" w:hAnsi="Roboto"/>
          <w:color w:val="3A3A3A"/>
          <w:sz w:val="23"/>
          <w:szCs w:val="23"/>
          <w:lang w:eastAsia="el-GR"/>
        </w:rPr>
      </w:pPr>
      <w:r>
        <w:rPr>
          <w:rFonts w:ascii="Roboto" w:hAnsi="Roboto"/>
          <w:color w:val="3A3A3A"/>
          <w:sz w:val="23"/>
          <w:szCs w:val="23"/>
          <w:lang w:eastAsia="el-GR"/>
        </w:rPr>
        <w:t>Έως σήμερα, η μετάβαση του τηλεοπτικού σήματος στις νέες συχνότητες έχει ολοκληρωθεί με επιτυχία στις περισσότερες περιοχές της χώρας. Στις εναπομείνασες περιοχές, το χρονοδιάγραμμα που βασίζεται στον Χάρτη Συχνοτήτων τον συντονισμό για τη σύνταξη του οποίου είχε η Γενική Γραμματεία Τηλεπικοινωνιών και Ταχυδρομείων του Υπουργείου Ψηφιακής Διακυβέρνησης τροποποιείται ως ακολούθως:</w:t>
      </w:r>
    </w:p>
    <w:tbl>
      <w:tblPr>
        <w:tblW w:w="9599"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60"/>
        <w:gridCol w:w="6939"/>
      </w:tblGrid>
      <w:tr w:rsidR="0054605B" w14:paraId="0C308759" w14:textId="77777777" w:rsidTr="0054605B">
        <w:trPr>
          <w:tblCellSpacing w:w="15" w:type="dxa"/>
        </w:trPr>
        <w:tc>
          <w:tcPr>
            <w:tcW w:w="0" w:type="auto"/>
            <w:tcBorders>
              <w:top w:val="single" w:sz="8" w:space="0" w:color="auto"/>
              <w:left w:val="single" w:sz="8" w:space="0" w:color="auto"/>
              <w:bottom w:val="single" w:sz="8" w:space="0" w:color="auto"/>
              <w:right w:val="single" w:sz="8" w:space="0" w:color="auto"/>
            </w:tcBorders>
            <w:tcMar>
              <w:top w:w="120" w:type="dxa"/>
              <w:left w:w="120" w:type="dxa"/>
              <w:bottom w:w="120" w:type="dxa"/>
              <w:right w:w="120" w:type="dxa"/>
            </w:tcMar>
            <w:vAlign w:val="bottom"/>
            <w:hideMark/>
          </w:tcPr>
          <w:p w14:paraId="24E45D22" w14:textId="77777777" w:rsidR="0054605B" w:rsidRDefault="0054605B">
            <w:pPr>
              <w:rPr>
                <w:sz w:val="23"/>
                <w:szCs w:val="23"/>
                <w:lang w:eastAsia="el-GR"/>
              </w:rPr>
            </w:pPr>
            <w:r>
              <w:rPr>
                <w:b/>
                <w:bCs/>
                <w:sz w:val="23"/>
                <w:szCs w:val="23"/>
                <w:bdr w:val="none" w:sz="0" w:space="0" w:color="auto" w:frame="1"/>
                <w:lang w:eastAsia="el-GR"/>
              </w:rPr>
              <w:t>Περιοχή</w:t>
            </w:r>
          </w:p>
        </w:tc>
        <w:tc>
          <w:tcPr>
            <w:tcW w:w="0" w:type="auto"/>
            <w:tcBorders>
              <w:top w:val="single" w:sz="8" w:space="0" w:color="auto"/>
              <w:left w:val="single" w:sz="8" w:space="0" w:color="auto"/>
              <w:bottom w:val="single" w:sz="8" w:space="0" w:color="auto"/>
              <w:right w:val="single" w:sz="8" w:space="0" w:color="auto"/>
            </w:tcBorders>
            <w:tcMar>
              <w:top w:w="120" w:type="dxa"/>
              <w:left w:w="120" w:type="dxa"/>
              <w:bottom w:w="120" w:type="dxa"/>
              <w:right w:w="120" w:type="dxa"/>
            </w:tcMar>
            <w:vAlign w:val="bottom"/>
            <w:hideMark/>
          </w:tcPr>
          <w:p w14:paraId="67D5B292" w14:textId="77777777" w:rsidR="0054605B" w:rsidRDefault="0054605B">
            <w:pPr>
              <w:rPr>
                <w:sz w:val="23"/>
                <w:szCs w:val="23"/>
                <w:lang w:eastAsia="el-GR"/>
              </w:rPr>
            </w:pPr>
            <w:r>
              <w:rPr>
                <w:b/>
                <w:bCs/>
                <w:sz w:val="23"/>
                <w:szCs w:val="23"/>
                <w:bdr w:val="none" w:sz="0" w:space="0" w:color="auto" w:frame="1"/>
                <w:lang w:eastAsia="el-GR"/>
              </w:rPr>
              <w:t>Νέα ημερομηνία μετάβασης</w:t>
            </w:r>
          </w:p>
        </w:tc>
      </w:tr>
      <w:tr w:rsidR="0054605B" w14:paraId="00821945" w14:textId="77777777" w:rsidTr="0054605B">
        <w:trPr>
          <w:tblCellSpacing w:w="15" w:type="dxa"/>
        </w:trPr>
        <w:tc>
          <w:tcPr>
            <w:tcW w:w="0" w:type="auto"/>
            <w:tcBorders>
              <w:top w:val="single" w:sz="8" w:space="0" w:color="auto"/>
              <w:left w:val="single" w:sz="8" w:space="0" w:color="auto"/>
              <w:bottom w:val="single" w:sz="8" w:space="0" w:color="auto"/>
              <w:right w:val="single" w:sz="8" w:space="0" w:color="auto"/>
            </w:tcBorders>
            <w:tcMar>
              <w:top w:w="120" w:type="dxa"/>
              <w:left w:w="120" w:type="dxa"/>
              <w:bottom w:w="120" w:type="dxa"/>
              <w:right w:w="120" w:type="dxa"/>
            </w:tcMar>
            <w:vAlign w:val="bottom"/>
            <w:hideMark/>
          </w:tcPr>
          <w:p w14:paraId="3CC521EC" w14:textId="77777777" w:rsidR="0054605B" w:rsidRDefault="0054605B">
            <w:pPr>
              <w:rPr>
                <w:sz w:val="23"/>
                <w:szCs w:val="23"/>
                <w:lang w:eastAsia="el-GR"/>
              </w:rPr>
            </w:pPr>
            <w:r>
              <w:rPr>
                <w:sz w:val="23"/>
                <w:szCs w:val="23"/>
                <w:lang w:eastAsia="el-GR"/>
              </w:rPr>
              <w:t>Αττική</w:t>
            </w:r>
          </w:p>
        </w:tc>
        <w:tc>
          <w:tcPr>
            <w:tcW w:w="0" w:type="auto"/>
            <w:tcBorders>
              <w:top w:val="single" w:sz="8" w:space="0" w:color="auto"/>
              <w:left w:val="single" w:sz="8" w:space="0" w:color="auto"/>
              <w:bottom w:val="single" w:sz="8" w:space="0" w:color="auto"/>
              <w:right w:val="single" w:sz="8" w:space="0" w:color="auto"/>
            </w:tcBorders>
            <w:tcMar>
              <w:top w:w="120" w:type="dxa"/>
              <w:left w:w="120" w:type="dxa"/>
              <w:bottom w:w="120" w:type="dxa"/>
              <w:right w:w="120" w:type="dxa"/>
            </w:tcMar>
            <w:vAlign w:val="bottom"/>
            <w:hideMark/>
          </w:tcPr>
          <w:p w14:paraId="71B3243C" w14:textId="77777777" w:rsidR="0054605B" w:rsidRDefault="0054605B">
            <w:pPr>
              <w:rPr>
                <w:sz w:val="23"/>
                <w:szCs w:val="23"/>
                <w:lang w:eastAsia="el-GR"/>
              </w:rPr>
            </w:pPr>
            <w:r>
              <w:rPr>
                <w:sz w:val="23"/>
                <w:szCs w:val="23"/>
                <w:lang w:eastAsia="el-GR"/>
              </w:rPr>
              <w:t>3/9/2021</w:t>
            </w:r>
          </w:p>
        </w:tc>
      </w:tr>
      <w:tr w:rsidR="0054605B" w14:paraId="0CB204C6" w14:textId="77777777" w:rsidTr="0054605B">
        <w:trPr>
          <w:tblCellSpacing w:w="15" w:type="dxa"/>
        </w:trPr>
        <w:tc>
          <w:tcPr>
            <w:tcW w:w="0" w:type="auto"/>
            <w:tcBorders>
              <w:top w:val="single" w:sz="8" w:space="0" w:color="auto"/>
              <w:left w:val="single" w:sz="8" w:space="0" w:color="auto"/>
              <w:bottom w:val="single" w:sz="8" w:space="0" w:color="auto"/>
              <w:right w:val="single" w:sz="8" w:space="0" w:color="auto"/>
            </w:tcBorders>
            <w:tcMar>
              <w:top w:w="120" w:type="dxa"/>
              <w:left w:w="120" w:type="dxa"/>
              <w:bottom w:w="120" w:type="dxa"/>
              <w:right w:w="120" w:type="dxa"/>
            </w:tcMar>
            <w:vAlign w:val="bottom"/>
            <w:hideMark/>
          </w:tcPr>
          <w:p w14:paraId="1A102F21" w14:textId="77777777" w:rsidR="0054605B" w:rsidRDefault="0054605B">
            <w:pPr>
              <w:rPr>
                <w:sz w:val="23"/>
                <w:szCs w:val="23"/>
                <w:lang w:eastAsia="el-GR"/>
              </w:rPr>
            </w:pPr>
            <w:r>
              <w:rPr>
                <w:sz w:val="23"/>
                <w:szCs w:val="23"/>
                <w:lang w:eastAsia="el-GR"/>
              </w:rPr>
              <w:t>Ναύπλιο</w:t>
            </w:r>
          </w:p>
        </w:tc>
        <w:tc>
          <w:tcPr>
            <w:tcW w:w="0" w:type="auto"/>
            <w:tcBorders>
              <w:top w:val="single" w:sz="8" w:space="0" w:color="auto"/>
              <w:left w:val="single" w:sz="8" w:space="0" w:color="auto"/>
              <w:bottom w:val="single" w:sz="8" w:space="0" w:color="auto"/>
              <w:right w:val="single" w:sz="8" w:space="0" w:color="auto"/>
            </w:tcBorders>
            <w:tcMar>
              <w:top w:w="120" w:type="dxa"/>
              <w:left w:w="120" w:type="dxa"/>
              <w:bottom w:w="120" w:type="dxa"/>
              <w:right w:w="120" w:type="dxa"/>
            </w:tcMar>
            <w:vAlign w:val="bottom"/>
            <w:hideMark/>
          </w:tcPr>
          <w:p w14:paraId="79ECCE44" w14:textId="77777777" w:rsidR="0054605B" w:rsidRDefault="0054605B">
            <w:pPr>
              <w:rPr>
                <w:sz w:val="23"/>
                <w:szCs w:val="23"/>
                <w:lang w:eastAsia="el-GR"/>
              </w:rPr>
            </w:pPr>
            <w:r>
              <w:rPr>
                <w:sz w:val="23"/>
                <w:szCs w:val="23"/>
                <w:lang w:eastAsia="el-GR"/>
              </w:rPr>
              <w:t>3/9/2021</w:t>
            </w:r>
          </w:p>
        </w:tc>
      </w:tr>
      <w:tr w:rsidR="0054605B" w14:paraId="43AF4F30" w14:textId="77777777" w:rsidTr="0054605B">
        <w:trPr>
          <w:tblCellSpacing w:w="15" w:type="dxa"/>
        </w:trPr>
        <w:tc>
          <w:tcPr>
            <w:tcW w:w="0" w:type="auto"/>
            <w:tcBorders>
              <w:top w:val="single" w:sz="8" w:space="0" w:color="auto"/>
              <w:left w:val="single" w:sz="8" w:space="0" w:color="auto"/>
              <w:bottom w:val="single" w:sz="8" w:space="0" w:color="auto"/>
              <w:right w:val="single" w:sz="8" w:space="0" w:color="auto"/>
            </w:tcBorders>
            <w:tcMar>
              <w:top w:w="120" w:type="dxa"/>
              <w:left w:w="120" w:type="dxa"/>
              <w:bottom w:w="120" w:type="dxa"/>
              <w:right w:w="120" w:type="dxa"/>
            </w:tcMar>
            <w:vAlign w:val="bottom"/>
            <w:hideMark/>
          </w:tcPr>
          <w:p w14:paraId="246DD7C1" w14:textId="77777777" w:rsidR="0054605B" w:rsidRDefault="0054605B">
            <w:pPr>
              <w:rPr>
                <w:sz w:val="23"/>
                <w:szCs w:val="23"/>
                <w:lang w:eastAsia="el-GR"/>
              </w:rPr>
            </w:pPr>
            <w:r>
              <w:rPr>
                <w:sz w:val="23"/>
                <w:szCs w:val="23"/>
                <w:lang w:eastAsia="el-GR"/>
              </w:rPr>
              <w:t>Λαμία</w:t>
            </w:r>
          </w:p>
        </w:tc>
        <w:tc>
          <w:tcPr>
            <w:tcW w:w="0" w:type="auto"/>
            <w:tcBorders>
              <w:top w:val="single" w:sz="8" w:space="0" w:color="auto"/>
              <w:left w:val="single" w:sz="8" w:space="0" w:color="auto"/>
              <w:bottom w:val="single" w:sz="8" w:space="0" w:color="auto"/>
              <w:right w:val="single" w:sz="8" w:space="0" w:color="auto"/>
            </w:tcBorders>
            <w:tcMar>
              <w:top w:w="120" w:type="dxa"/>
              <w:left w:w="120" w:type="dxa"/>
              <w:bottom w:w="120" w:type="dxa"/>
              <w:right w:w="120" w:type="dxa"/>
            </w:tcMar>
            <w:vAlign w:val="bottom"/>
            <w:hideMark/>
          </w:tcPr>
          <w:p w14:paraId="24FAC6F4" w14:textId="77777777" w:rsidR="0054605B" w:rsidRDefault="0054605B">
            <w:pPr>
              <w:rPr>
                <w:sz w:val="23"/>
                <w:szCs w:val="23"/>
                <w:lang w:eastAsia="el-GR"/>
              </w:rPr>
            </w:pPr>
            <w:r>
              <w:rPr>
                <w:sz w:val="23"/>
                <w:szCs w:val="23"/>
                <w:lang w:eastAsia="el-GR"/>
              </w:rPr>
              <w:t>17/9/2021</w:t>
            </w:r>
          </w:p>
        </w:tc>
      </w:tr>
      <w:tr w:rsidR="0054605B" w14:paraId="3E2434DC" w14:textId="77777777" w:rsidTr="0054605B">
        <w:trPr>
          <w:tblCellSpacing w:w="15" w:type="dxa"/>
        </w:trPr>
        <w:tc>
          <w:tcPr>
            <w:tcW w:w="0" w:type="auto"/>
            <w:tcBorders>
              <w:top w:val="single" w:sz="8" w:space="0" w:color="auto"/>
              <w:left w:val="single" w:sz="8" w:space="0" w:color="auto"/>
              <w:bottom w:val="single" w:sz="8" w:space="0" w:color="auto"/>
              <w:right w:val="single" w:sz="8" w:space="0" w:color="auto"/>
            </w:tcBorders>
            <w:tcMar>
              <w:top w:w="120" w:type="dxa"/>
              <w:left w:w="120" w:type="dxa"/>
              <w:bottom w:w="120" w:type="dxa"/>
              <w:right w:w="120" w:type="dxa"/>
            </w:tcMar>
            <w:vAlign w:val="bottom"/>
            <w:hideMark/>
          </w:tcPr>
          <w:p w14:paraId="377DC865" w14:textId="77777777" w:rsidR="0054605B" w:rsidRDefault="0054605B">
            <w:pPr>
              <w:rPr>
                <w:sz w:val="23"/>
                <w:szCs w:val="23"/>
                <w:lang w:eastAsia="el-GR"/>
              </w:rPr>
            </w:pPr>
            <w:r>
              <w:rPr>
                <w:sz w:val="23"/>
                <w:szCs w:val="23"/>
                <w:lang w:eastAsia="el-GR"/>
              </w:rPr>
              <w:t>Κόρινθος</w:t>
            </w:r>
          </w:p>
        </w:tc>
        <w:tc>
          <w:tcPr>
            <w:tcW w:w="0" w:type="auto"/>
            <w:tcBorders>
              <w:top w:val="single" w:sz="8" w:space="0" w:color="auto"/>
              <w:left w:val="single" w:sz="8" w:space="0" w:color="auto"/>
              <w:bottom w:val="single" w:sz="8" w:space="0" w:color="auto"/>
              <w:right w:val="single" w:sz="8" w:space="0" w:color="auto"/>
            </w:tcBorders>
            <w:tcMar>
              <w:top w:w="120" w:type="dxa"/>
              <w:left w:w="120" w:type="dxa"/>
              <w:bottom w:w="120" w:type="dxa"/>
              <w:right w:w="120" w:type="dxa"/>
            </w:tcMar>
            <w:vAlign w:val="bottom"/>
            <w:hideMark/>
          </w:tcPr>
          <w:p w14:paraId="6F7D8A01" w14:textId="77777777" w:rsidR="0054605B" w:rsidRDefault="0054605B">
            <w:pPr>
              <w:rPr>
                <w:sz w:val="23"/>
                <w:szCs w:val="23"/>
                <w:lang w:eastAsia="el-GR"/>
              </w:rPr>
            </w:pPr>
            <w:r>
              <w:rPr>
                <w:sz w:val="23"/>
                <w:szCs w:val="23"/>
                <w:lang w:eastAsia="el-GR"/>
              </w:rPr>
              <w:t>17/9/2021</w:t>
            </w:r>
          </w:p>
        </w:tc>
      </w:tr>
      <w:tr w:rsidR="0054605B" w14:paraId="1DB0891B" w14:textId="77777777" w:rsidTr="0054605B">
        <w:trPr>
          <w:tblCellSpacing w:w="15" w:type="dxa"/>
        </w:trPr>
        <w:tc>
          <w:tcPr>
            <w:tcW w:w="0" w:type="auto"/>
            <w:tcBorders>
              <w:top w:val="single" w:sz="8" w:space="0" w:color="auto"/>
              <w:left w:val="single" w:sz="8" w:space="0" w:color="auto"/>
              <w:bottom w:val="single" w:sz="8" w:space="0" w:color="auto"/>
              <w:right w:val="single" w:sz="8" w:space="0" w:color="auto"/>
            </w:tcBorders>
            <w:tcMar>
              <w:top w:w="120" w:type="dxa"/>
              <w:left w:w="120" w:type="dxa"/>
              <w:bottom w:w="120" w:type="dxa"/>
              <w:right w:w="120" w:type="dxa"/>
            </w:tcMar>
            <w:vAlign w:val="bottom"/>
            <w:hideMark/>
          </w:tcPr>
          <w:p w14:paraId="0E0CB65D" w14:textId="77777777" w:rsidR="0054605B" w:rsidRDefault="0054605B">
            <w:pPr>
              <w:rPr>
                <w:sz w:val="23"/>
                <w:szCs w:val="23"/>
                <w:lang w:eastAsia="el-GR"/>
              </w:rPr>
            </w:pPr>
            <w:r>
              <w:rPr>
                <w:sz w:val="23"/>
                <w:szCs w:val="23"/>
                <w:lang w:eastAsia="el-GR"/>
              </w:rPr>
              <w:t>Κρήτη</w:t>
            </w:r>
          </w:p>
        </w:tc>
        <w:tc>
          <w:tcPr>
            <w:tcW w:w="0" w:type="auto"/>
            <w:tcBorders>
              <w:top w:val="single" w:sz="8" w:space="0" w:color="auto"/>
              <w:left w:val="single" w:sz="8" w:space="0" w:color="auto"/>
              <w:bottom w:val="single" w:sz="8" w:space="0" w:color="auto"/>
              <w:right w:val="single" w:sz="8" w:space="0" w:color="auto"/>
            </w:tcBorders>
            <w:tcMar>
              <w:top w:w="120" w:type="dxa"/>
              <w:left w:w="120" w:type="dxa"/>
              <w:bottom w:w="120" w:type="dxa"/>
              <w:right w:w="120" w:type="dxa"/>
            </w:tcMar>
            <w:vAlign w:val="bottom"/>
            <w:hideMark/>
          </w:tcPr>
          <w:p w14:paraId="18BCCA7B" w14:textId="77777777" w:rsidR="0054605B" w:rsidRDefault="0054605B">
            <w:pPr>
              <w:rPr>
                <w:sz w:val="23"/>
                <w:szCs w:val="23"/>
                <w:lang w:eastAsia="el-GR"/>
              </w:rPr>
            </w:pPr>
            <w:r>
              <w:rPr>
                <w:sz w:val="23"/>
                <w:szCs w:val="23"/>
                <w:lang w:eastAsia="el-GR"/>
              </w:rPr>
              <w:t>30/9/2021</w:t>
            </w:r>
          </w:p>
        </w:tc>
      </w:tr>
    </w:tbl>
    <w:p w14:paraId="1888A209" w14:textId="77777777" w:rsidR="0054605B" w:rsidRDefault="0054605B" w:rsidP="0054605B">
      <w:pPr>
        <w:shd w:val="clear" w:color="auto" w:fill="FFFFFF"/>
        <w:spacing w:after="384"/>
        <w:textAlignment w:val="baseline"/>
        <w:rPr>
          <w:rFonts w:ascii="Roboto" w:hAnsi="Roboto"/>
          <w:color w:val="3A3A3A"/>
          <w:sz w:val="23"/>
          <w:szCs w:val="23"/>
          <w:lang w:eastAsia="el-GR"/>
        </w:rPr>
      </w:pPr>
      <w:r>
        <w:rPr>
          <w:rFonts w:ascii="Roboto" w:hAnsi="Roboto"/>
          <w:color w:val="3A3A3A"/>
          <w:sz w:val="23"/>
          <w:szCs w:val="23"/>
          <w:lang w:eastAsia="el-GR"/>
        </w:rPr>
        <w:t xml:space="preserve">Το μόνο που χρειάζεται να κάνουν οι πολίτες είναι να </w:t>
      </w:r>
      <w:proofErr w:type="spellStart"/>
      <w:r>
        <w:rPr>
          <w:rFonts w:ascii="Roboto" w:hAnsi="Roboto"/>
          <w:color w:val="3A3A3A"/>
          <w:sz w:val="23"/>
          <w:szCs w:val="23"/>
          <w:lang w:eastAsia="el-GR"/>
        </w:rPr>
        <w:t>επανασυντονίσουν</w:t>
      </w:r>
      <w:proofErr w:type="spellEnd"/>
      <w:r>
        <w:rPr>
          <w:rFonts w:ascii="Roboto" w:hAnsi="Roboto"/>
          <w:color w:val="3A3A3A"/>
          <w:sz w:val="23"/>
          <w:szCs w:val="23"/>
          <w:lang w:eastAsia="el-GR"/>
        </w:rPr>
        <w:t xml:space="preserve"> τον τηλεοπτικό τους δέκτη με βάση το χρονοδιάγραμμα που έχει οριστεί ανά περιοχή. Υπενθυμίζεται ότι η διαδικασία δεν προϋποθέτει την εγκατάσταση νέου εξοπλισμού και δεν περιλαμβάνει κάποιου είδους οικονομική επιβάρυνση.</w:t>
      </w:r>
    </w:p>
    <w:p w14:paraId="4CBCE2D9" w14:textId="77777777" w:rsidR="0054605B" w:rsidRDefault="0054605B" w:rsidP="0054605B">
      <w:pPr>
        <w:shd w:val="clear" w:color="auto" w:fill="FFFFFF"/>
        <w:spacing w:after="384"/>
        <w:textAlignment w:val="baseline"/>
        <w:rPr>
          <w:rFonts w:ascii="Roboto" w:hAnsi="Roboto"/>
          <w:color w:val="3A3A3A"/>
          <w:sz w:val="23"/>
          <w:szCs w:val="23"/>
          <w:lang w:eastAsia="el-GR"/>
        </w:rPr>
      </w:pPr>
      <w:r>
        <w:rPr>
          <w:rFonts w:ascii="Roboto" w:hAnsi="Roboto"/>
          <w:color w:val="3A3A3A"/>
          <w:sz w:val="23"/>
          <w:szCs w:val="23"/>
          <w:lang w:eastAsia="el-GR"/>
        </w:rPr>
        <w:t>Η διαδικασία του Ψηφιακού Μερίσματος ΙΙ θα ολοκληρωθεί σύμφωνα με το αρχικό χρονοδιάγραμμα στις 30/9/2021.</w:t>
      </w:r>
    </w:p>
    <w:p w14:paraId="7A103DFD" w14:textId="77777777" w:rsidR="00B45985" w:rsidRDefault="00B45985"/>
    <w:sectPr w:rsidR="00B459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5B"/>
    <w:rsid w:val="003A465E"/>
    <w:rsid w:val="0054605B"/>
    <w:rsid w:val="00B4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09E8"/>
  <w15:chartTrackingRefBased/>
  <w15:docId w15:val="{72075B2E-00C3-404B-94FF-25F5A7FD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5B"/>
    <w:pPr>
      <w:spacing w:after="0" w:line="240" w:lineRule="auto"/>
    </w:pPr>
    <w:rPr>
      <w:rFonts w:ascii="Calibri" w:hAnsi="Calibri" w:cs="Calibr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60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8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ndigital.gr/archives/category/deltia-typou-anakoinose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1412</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Koliadou [Digea]</dc:creator>
  <cp:keywords/>
  <dc:description/>
  <cp:lastModifiedBy>Ioanna Koliadou [Digea]</cp:lastModifiedBy>
  <cp:revision>1</cp:revision>
  <dcterms:created xsi:type="dcterms:W3CDTF">2021-08-13T08:39:00Z</dcterms:created>
  <dcterms:modified xsi:type="dcterms:W3CDTF">2021-08-13T08:39:00Z</dcterms:modified>
</cp:coreProperties>
</file>